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様式第６号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業務実施体制図</w:t>
      </w:r>
    </w:p>
    <w:tbl>
      <w:tblPr>
        <w:tblStyle w:val="Table1"/>
        <w:tblW w:w="98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36"/>
        <w:tblGridChange w:id="0">
          <w:tblGrid>
            <w:gridCol w:w="9836"/>
          </w:tblGrid>
        </w:tblGridChange>
      </w:tblGrid>
      <w:tr>
        <w:trPr>
          <w:cantSplit w:val="0"/>
          <w:trHeight w:val="126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" w:right="0" w:hanging="1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※　業務責任者、主担当者その他本業務に携わる予定の者について、所属・氏名、</w:t>
      </w:r>
      <w:r w:rsidDel="00000000" w:rsidR="00000000" w:rsidRPr="00000000">
        <w:rPr>
          <w:rFonts w:ascii="MS Mincho" w:cs="MS Mincho" w:eastAsia="MS Mincho" w:hAnsi="MS Mincho"/>
          <w:sz w:val="16"/>
          <w:szCs w:val="16"/>
          <w:rtl w:val="0"/>
        </w:rPr>
        <w:t xml:space="preserve">担当区分、指揮命令系統が分かるように記載すること。ただし、車両の整備工場等は、個別に事業所名を記載せず「市内整備工場」と記載すること。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