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様式第８号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価格提案書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       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グリーンファイナンス・フレームワーク改定及びレビュー業務公募型プロポーザル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について、実施要領、仕様書等の内容を十分に確認した上で、価格提案書を提出します。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28"/>
        </w:tabs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（１）価格（税込）</w:t>
      </w:r>
    </w:p>
    <w:tbl>
      <w:tblPr>
        <w:tblStyle w:val="Table1"/>
        <w:tblW w:w="648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5"/>
        <w:tblGridChange w:id="0">
          <w:tblGrid>
            <w:gridCol w:w="6485"/>
          </w:tblGrid>
        </w:tblGridChange>
      </w:tblGrid>
      <w:tr>
        <w:trPr>
          <w:cantSplit w:val="0"/>
          <w:trHeight w:val="1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※価格内訳書（任意様式）を添付すること。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※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補助事業を活用する場合、事業費及び補助事業による補助見込額を明記すること。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5PXPdLFr2jWodAsiy4kh+5+wGw==">CgMxLjA4AHIhMU10U2RvMVdTTVVwWUdzM3R5UzZUc3FwblRNdnFRVF9J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那須塩原市</dc:creator>
</cp:coreProperties>
</file>