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（別紙）</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小規模特定事業に使用する土砂等の採取場所並びに当該採取場所からの搬入予定量及び搬入計画</w:t>
      </w:r>
    </w:p>
    <w:tbl>
      <w:tblPr>
        <w:tblStyle w:val="Table1"/>
        <w:tblW w:w="14039.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36"/>
        <w:gridCol w:w="1555"/>
        <w:gridCol w:w="1555"/>
        <w:gridCol w:w="1555"/>
        <w:gridCol w:w="1555"/>
        <w:gridCol w:w="1556"/>
        <w:gridCol w:w="1728"/>
        <w:tblGridChange w:id="0">
          <w:tblGrid>
            <w:gridCol w:w="4536"/>
            <w:gridCol w:w="1555"/>
            <w:gridCol w:w="1555"/>
            <w:gridCol w:w="1555"/>
            <w:gridCol w:w="1555"/>
            <w:gridCol w:w="1556"/>
            <w:gridCol w:w="1728"/>
          </w:tblGrid>
        </w:tblGridChange>
      </w:tblGrid>
      <w:tr>
        <w:trPr>
          <w:cantSplit w:val="1"/>
          <w:trHeight w:val="454" w:hRule="atLeast"/>
          <w:tblHeader w:val="0"/>
        </w:trPr>
        <w:tc>
          <w:tcPr>
            <w:vMerge w:val="restart"/>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採取場所・発生元事業者名</w:t>
            </w:r>
          </w:p>
        </w:tc>
        <w:tc>
          <w:tcPr>
            <w:gridSpan w:val="6"/>
            <w:vAlign w:val="cente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搬入計画等</w:t>
            </w:r>
          </w:p>
        </w:tc>
      </w:tr>
      <w:tr>
        <w:trPr>
          <w:cantSplit w:val="1"/>
          <w:trHeight w:val="613" w:hRule="atLeast"/>
          <w:tblHeader w:val="0"/>
        </w:trPr>
        <w:tc>
          <w:tcPr>
            <w:vMerge w:val="continue"/>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予定量</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w:t>
            </w:r>
          </w:p>
        </w:tc>
        <w:tc>
          <w:tcPr>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最大日量</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w:t>
            </w:r>
          </w:p>
        </w:tc>
        <w:tc>
          <w:tcP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搬入期間</w:t>
            </w:r>
          </w:p>
        </w:tc>
        <w:tc>
          <w:tcP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搬入時間</w:t>
            </w:r>
          </w:p>
        </w:tc>
        <w:tc>
          <w:tcP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搬入土砂等の区分</w:t>
            </w:r>
          </w:p>
        </w:tc>
        <w:tc>
          <w:tcP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備考</w:t>
            </w:r>
          </w:p>
        </w:tc>
      </w:tr>
      <w:tr>
        <w:trPr>
          <w:cantSplit w:val="0"/>
          <w:trHeight w:val="462" w:hRule="atLeast"/>
          <w:tblHeader w:val="0"/>
        </w:trPr>
        <w:tc>
          <w:tcP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w:t>
            </w:r>
          </w:p>
        </w:tc>
        <w:tc>
          <w:tcP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w:t>
            </w:r>
          </w:p>
        </w:tc>
        <w:tc>
          <w:tcP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r>
      <w:tr>
        <w:trPr>
          <w:cantSplit w:val="0"/>
          <w:trHeight w:val="438" w:hRule="atLeast"/>
          <w:tblHeader w:val="0"/>
        </w:trPr>
        <w:tc>
          <w:tcP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r>
      <w:tr>
        <w:trPr>
          <w:cantSplit w:val="0"/>
          <w:trHeight w:val="470" w:hRule="atLeast"/>
          <w:tblHeader w:val="0"/>
        </w:trPr>
        <w:tc>
          <w:tcP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r>
      <w:tr>
        <w:trPr>
          <w:cantSplit w:val="0"/>
          <w:trHeight w:val="459" w:hRule="atLeast"/>
          <w:tblHeader w:val="0"/>
        </w:trPr>
        <w:tc>
          <w:tcP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r>
      <w:tr>
        <w:trPr>
          <w:cantSplit w:val="0"/>
          <w:trHeight w:val="435" w:hRule="atLeast"/>
          <w:tblHeader w:val="0"/>
        </w:trPr>
        <w:tc>
          <w:tcP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r>
      <w:tr>
        <w:trPr>
          <w:cantSplit w:val="0"/>
          <w:trHeight w:val="467" w:hRule="atLeast"/>
          <w:tblHeader w:val="0"/>
        </w:trPr>
        <w:tc>
          <w:tcP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r>
      <w:tr>
        <w:trPr>
          <w:cantSplit w:val="0"/>
          <w:trHeight w:val="443" w:hRule="atLeast"/>
          <w:tblHeader w:val="0"/>
        </w:trPr>
        <w:tc>
          <w:tcP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r>
      <w:tr>
        <w:trPr>
          <w:cantSplit w:val="0"/>
          <w:trHeight w:val="447" w:hRule="atLeast"/>
          <w:tblHeader w:val="0"/>
        </w:trPr>
        <w:tc>
          <w:tcP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r>
      <w:tr>
        <w:trPr>
          <w:cantSplit w:val="0"/>
          <w:trHeight w:val="479" w:hRule="atLeast"/>
          <w:tblHeader w:val="0"/>
        </w:trPr>
        <w:tc>
          <w:tcPr>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r>
      <w:tr>
        <w:trPr>
          <w:cantSplit w:val="0"/>
          <w:trHeight w:val="440" w:hRule="atLeast"/>
          <w:tblHeader w:val="0"/>
        </w:trPr>
        <w:tc>
          <w:tcP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r>
      <w:tr>
        <w:trPr>
          <w:cantSplit w:val="0"/>
          <w:trHeight w:val="472" w:hRule="atLeast"/>
          <w:tblHeader w:val="0"/>
        </w:trPr>
        <w:tc>
          <w:tcP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r>
      <w:tr>
        <w:trPr>
          <w:cantSplit w:val="0"/>
          <w:trHeight w:val="448" w:hRule="atLeast"/>
          <w:tblHeader w:val="0"/>
        </w:trPr>
        <w:tc>
          <w:tcP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r>
      <w:tr>
        <w:trPr>
          <w:cantSplit w:val="0"/>
          <w:trHeight w:val="452" w:hRule="atLeast"/>
          <w:tblHeader w:val="0"/>
        </w:trPr>
        <w:tc>
          <w:tcP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c>
          <w:tcP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　</w:t>
            </w:r>
          </w:p>
        </w:tc>
      </w:tr>
    </w:tbl>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 w:right="0" w:hanging="216"/>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備考　搬入土砂等の区分の欄には、</w:t>
      </w:r>
      <w:r w:rsidDel="00000000" w:rsidR="00000000" w:rsidRPr="00000000">
        <w:rPr>
          <w:rFonts w:ascii="MS Mincho" w:cs="MS Mincho" w:eastAsia="MS Mincho" w:hAnsi="MS Mincho"/>
          <w:sz w:val="21"/>
          <w:szCs w:val="21"/>
          <w:rtl w:val="0"/>
        </w:rPr>
        <w:t xml:space="preserve">発生土利用基準（平成１８年８月１０日付国官技第１１２号ほか）の表－１の土質区分基準</w:t>
      </w:r>
      <w:r w:rsidDel="00000000" w:rsidR="00000000" w:rsidRPr="00000000">
        <w:rPr>
          <w:rFonts w:ascii="MS Mincho" w:cs="MS Mincho" w:eastAsia="MS Mincho" w:hAnsi="MS Mincho"/>
          <w:i w:val="0"/>
          <w:smallCaps w:val="0"/>
          <w:strike w:val="0"/>
          <w:color w:val="000000"/>
          <w:sz w:val="21"/>
          <w:szCs w:val="21"/>
          <w:u w:val="none"/>
          <w:shd w:fill="auto" w:val="clear"/>
          <w:vertAlign w:val="baseline"/>
          <w:rtl w:val="0"/>
        </w:rPr>
        <w:t xml:space="preserve">に基づき「第１種建設発生土（又は第１種建設発生土に準ずるもの）」、「第２種建設発生土（又は第２種建設発生土に準ずるもの）」、「第３種建設発生土（又は第３種建設発生土に準ずるもの）」、「その他」のいずれかを記載すること。</w:t>
      </w:r>
    </w:p>
    <w:sectPr>
      <w:pgSz w:h="11906" w:w="16838" w:orient="landscape"/>
      <w:pgMar w:bottom="1418" w:top="1418" w:left="1418" w:right="1418"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j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0"/>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4LDrDpctlJ5rNXEkW0Z+2YY5kg==">CgMxLjA4AHIhMUdGR3laaTlmMk5JTGlxUVE5WmI0ZVVGNmJXTzREX3lM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2013-08-07T05:00:00Z</dcterms:created>
  <dc:creator>n.hirose</dc:creator>
</cp:coreProperties>
</file>